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575" w:rsidRDefault="006B3575">
      <w:pPr>
        <w:tabs>
          <w:tab w:val="center" w:pos="4153"/>
          <w:tab w:val="right" w:pos="9100"/>
        </w:tabs>
        <w:suppressAutoHyphens/>
        <w:rPr>
          <w:rFonts w:ascii="Tahoma" w:hAnsi="Tahoma"/>
          <w:spacing w:val="10"/>
          <w:sz w:val="20"/>
          <w:lang w:eastAsia="lt-LT"/>
        </w:rPr>
      </w:pPr>
    </w:p>
    <w:p w:rsidR="006B3575" w:rsidRDefault="00AC50C2">
      <w:pPr>
        <w:suppressAutoHyphens/>
        <w:jc w:val="center"/>
        <w:rPr>
          <w:b/>
          <w:bCs/>
          <w:lang w:eastAsia="lt-LT"/>
        </w:rPr>
      </w:pPr>
      <w:r>
        <w:rPr>
          <w:noProof/>
          <w:lang w:eastAsia="lt-LT"/>
        </w:rPr>
        <w:drawing>
          <wp:inline distT="0" distB="0" distL="0" distR="0" wp14:anchorId="7A01492C" wp14:editId="1E6120B6">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6B3575" w:rsidRDefault="006B3575">
      <w:pPr>
        <w:rPr>
          <w:sz w:val="10"/>
          <w:szCs w:val="10"/>
        </w:rPr>
      </w:pPr>
    </w:p>
    <w:p w:rsidR="006B3575" w:rsidRDefault="00AC50C2">
      <w:pPr>
        <w:suppressAutoHyphens/>
        <w:jc w:val="center"/>
        <w:rPr>
          <w:b/>
          <w:bCs/>
          <w:lang w:eastAsia="lt-LT"/>
        </w:rPr>
      </w:pPr>
      <w:r>
        <w:rPr>
          <w:b/>
          <w:bCs/>
          <w:lang w:eastAsia="lt-LT"/>
        </w:rPr>
        <w:t>LIETUVOS RESPUBLIKOS APLINKOS MINISTRAS</w:t>
      </w:r>
    </w:p>
    <w:p w:rsidR="006B3575" w:rsidRDefault="006B3575">
      <w:pPr>
        <w:rPr>
          <w:sz w:val="6"/>
          <w:szCs w:val="6"/>
        </w:rPr>
      </w:pPr>
    </w:p>
    <w:p w:rsidR="006B3575" w:rsidRDefault="006B3575">
      <w:pPr>
        <w:suppressAutoHyphens/>
        <w:jc w:val="center"/>
        <w:rPr>
          <w:b/>
          <w:bCs/>
          <w:lang w:eastAsia="lt-LT"/>
        </w:rPr>
      </w:pPr>
    </w:p>
    <w:p w:rsidR="006B3575" w:rsidRDefault="006B3575">
      <w:pPr>
        <w:rPr>
          <w:sz w:val="6"/>
          <w:szCs w:val="6"/>
        </w:rPr>
      </w:pPr>
    </w:p>
    <w:p w:rsidR="006B3575" w:rsidRDefault="00AC50C2">
      <w:pPr>
        <w:suppressAutoHyphens/>
        <w:jc w:val="center"/>
        <w:rPr>
          <w:b/>
          <w:bCs/>
          <w:lang w:eastAsia="lt-LT"/>
        </w:rPr>
      </w:pPr>
      <w:r>
        <w:rPr>
          <w:b/>
          <w:bCs/>
          <w:lang w:eastAsia="lt-LT"/>
        </w:rPr>
        <w:t>ĮSAKYMAS</w:t>
      </w:r>
    </w:p>
    <w:p w:rsidR="006B3575" w:rsidRDefault="006B3575">
      <w:pPr>
        <w:rPr>
          <w:sz w:val="6"/>
          <w:szCs w:val="6"/>
        </w:rPr>
      </w:pPr>
    </w:p>
    <w:p w:rsidR="006B3575" w:rsidRDefault="00AC50C2">
      <w:pPr>
        <w:suppressAutoHyphens/>
        <w:jc w:val="center"/>
        <w:rPr>
          <w:b/>
          <w:szCs w:val="24"/>
          <w:lang w:eastAsia="zh-CN"/>
        </w:rPr>
      </w:pPr>
      <w:r>
        <w:rPr>
          <w:rFonts w:eastAsia="Andale Sans UI"/>
          <w:b/>
          <w:bCs/>
          <w:szCs w:val="24"/>
          <w:lang w:eastAsia="zh-CN" w:bidi="en-US"/>
        </w:rPr>
        <w:t>DĖL KANOPINIŲ ŽVĖRIŲ, KURIŲ MEDŽIOKLĖ LIMITUOJAMA, SUMEDŽIOJIMO PER 2024–2025 METŲ MEDŽIOKLĖS SEZONĄ LIMITŲ PATVIRTINIMO</w:t>
      </w:r>
    </w:p>
    <w:p w:rsidR="006B3575" w:rsidRDefault="006B3575">
      <w:pPr>
        <w:suppressAutoHyphens/>
        <w:jc w:val="center"/>
        <w:rPr>
          <w:b/>
          <w:lang w:eastAsia="lt-LT"/>
        </w:rPr>
      </w:pPr>
    </w:p>
    <w:p w:rsidR="006B3575" w:rsidRDefault="00AC50C2">
      <w:pPr>
        <w:suppressAutoHyphens/>
        <w:jc w:val="center"/>
        <w:rPr>
          <w:lang w:eastAsia="lt-LT"/>
        </w:rPr>
      </w:pPr>
      <w:r>
        <w:rPr>
          <w:lang w:eastAsia="lt-LT"/>
        </w:rPr>
        <w:t xml:space="preserve">2024 m. </w:t>
      </w:r>
      <w:r w:rsidR="00D01F47">
        <w:rPr>
          <w:lang w:eastAsia="lt-LT"/>
        </w:rPr>
        <w:t xml:space="preserve">rugpjūčio </w:t>
      </w:r>
      <w:r w:rsidR="00D01F47">
        <w:rPr>
          <w:lang w:val="en-US" w:eastAsia="lt-LT"/>
        </w:rPr>
        <w:t>7</w:t>
      </w:r>
      <w:r>
        <w:rPr>
          <w:lang w:eastAsia="lt-LT"/>
        </w:rPr>
        <w:t xml:space="preserve"> d. Nr. </w:t>
      </w:r>
      <w:r w:rsidR="00D01F47">
        <w:rPr>
          <w:lang w:eastAsia="lt-LT"/>
        </w:rPr>
        <w:t>D1-265</w:t>
      </w:r>
    </w:p>
    <w:p w:rsidR="006B3575" w:rsidRDefault="00AC50C2">
      <w:pPr>
        <w:suppressAutoHyphens/>
        <w:jc w:val="center"/>
        <w:rPr>
          <w:lang w:eastAsia="lt-LT"/>
        </w:rPr>
      </w:pPr>
      <w:r>
        <w:rPr>
          <w:lang w:eastAsia="lt-LT"/>
        </w:rPr>
        <w:t>Vilnius</w:t>
      </w:r>
      <w:r>
        <w:rPr>
          <w:lang w:eastAsia="lt-LT"/>
        </w:rPr>
        <w:br/>
      </w:r>
    </w:p>
    <w:p w:rsidR="006B3575" w:rsidRDefault="00AC50C2">
      <w:pPr>
        <w:shd w:val="clear" w:color="auto" w:fill="FFFFFF"/>
        <w:suppressAutoHyphens/>
        <w:ind w:firstLine="567"/>
        <w:jc w:val="both"/>
        <w:textAlignment w:val="baseline"/>
        <w:rPr>
          <w:color w:val="000000"/>
          <w:szCs w:val="24"/>
          <w:lang w:eastAsia="en-GB"/>
        </w:rPr>
      </w:pPr>
      <w:r>
        <w:rPr>
          <w:color w:val="000000"/>
          <w:szCs w:val="24"/>
          <w:lang w:eastAsia="en-GB"/>
        </w:rPr>
        <w:t>Vadovaudamasis Lietuvos Respublikos aplinkos apsaugos įstatymo 6 straipsnio 5 dalies 5 punktu, vykdydamas Medžioklės Lietuvos Respublikos teritorijoje taisyklių, patvirtintų Lietuvos Respublikos aplinkos ministro 2000 m</w:t>
      </w:r>
      <w:r>
        <w:rPr>
          <w:color w:val="000000"/>
          <w:szCs w:val="24"/>
          <w:lang w:eastAsia="en-GB"/>
        </w:rPr>
        <w:t>. birželio 27 d. įsakymu Nr. 258 „Dėl Medžioklės Lietuvos Respublikos teritorijoje taisyklių patvirtinimo“, 42 punktą ir atsižvelgdamas į savivaldybių medžiojamųjų gyvūnų sumedžiojimo limitų nustatymo komisijų pateiktus suvestinius duomenis:</w:t>
      </w:r>
    </w:p>
    <w:p w:rsidR="006B3575" w:rsidRDefault="00AC50C2">
      <w:pPr>
        <w:shd w:val="clear" w:color="auto" w:fill="FFFFFF"/>
        <w:suppressAutoHyphens/>
        <w:ind w:firstLine="567"/>
        <w:jc w:val="both"/>
        <w:textAlignment w:val="baseline"/>
        <w:rPr>
          <w:color w:val="000000"/>
          <w:szCs w:val="24"/>
          <w:lang w:eastAsia="en-GB"/>
        </w:rPr>
      </w:pPr>
      <w:r>
        <w:rPr>
          <w:color w:val="000000"/>
          <w:szCs w:val="24"/>
          <w:lang w:eastAsia="en-GB"/>
        </w:rPr>
        <w:t>1</w:t>
      </w:r>
      <w:r>
        <w:rPr>
          <w:color w:val="000000"/>
          <w:szCs w:val="24"/>
          <w:lang w:eastAsia="en-GB"/>
        </w:rPr>
        <w:t>. T v i r</w:t>
      </w:r>
      <w:r>
        <w:rPr>
          <w:color w:val="000000"/>
          <w:szCs w:val="24"/>
          <w:lang w:eastAsia="en-GB"/>
        </w:rPr>
        <w:t xml:space="preserve"> t i n u kanopinių žvėrių, kurių medžioklė limituojama, sumedžiojimo per 2024</w:t>
      </w:r>
      <w:r>
        <w:rPr>
          <w:b/>
          <w:szCs w:val="24"/>
          <w:lang w:eastAsia="zh-CN"/>
        </w:rPr>
        <w:t>–</w:t>
      </w:r>
      <w:r>
        <w:rPr>
          <w:color w:val="000000"/>
          <w:szCs w:val="24"/>
          <w:lang w:eastAsia="en-GB"/>
        </w:rPr>
        <w:t>2025 metų medžioklės sezoną limitus (pridedama).</w:t>
      </w:r>
    </w:p>
    <w:p w:rsidR="006B3575" w:rsidRDefault="00AC50C2" w:rsidP="00AC50C2">
      <w:pPr>
        <w:shd w:val="clear" w:color="auto" w:fill="FFFFFF"/>
        <w:suppressAutoHyphens/>
        <w:ind w:firstLine="567"/>
        <w:jc w:val="both"/>
        <w:textAlignment w:val="baseline"/>
        <w:rPr>
          <w:lang w:eastAsia="lt-LT"/>
        </w:rPr>
      </w:pPr>
      <w:r>
        <w:rPr>
          <w:color w:val="000000"/>
          <w:szCs w:val="24"/>
          <w:lang w:eastAsia="en-GB"/>
        </w:rPr>
        <w:t>2</w:t>
      </w:r>
      <w:r>
        <w:rPr>
          <w:color w:val="000000"/>
          <w:szCs w:val="24"/>
          <w:lang w:eastAsia="en-GB"/>
        </w:rPr>
        <w:t>. N u s t a t a u, kad nepaskirstytas briedžių sumedžiojimo per 2024–2025 metų medžioklės sezoną limitas naudojamas Medžiokl</w:t>
      </w:r>
      <w:r>
        <w:rPr>
          <w:color w:val="000000"/>
          <w:szCs w:val="24"/>
          <w:lang w:eastAsia="en-GB"/>
        </w:rPr>
        <w:t>ės Lietuvos Respublikos teritorijoje taisyklių, patvirtintų Lietuvos Respublikos aplinkos ministro 2000 m. birželio 27 d. įsakymu Nr. 258 „Dėl Medžioklės Lietuvos Respublikos teritorijoje taisyklių patvirtinimo“, 39 punkte nustatyta tvarka arba, kai reguli</w:t>
      </w:r>
      <w:r>
        <w:rPr>
          <w:color w:val="000000"/>
          <w:szCs w:val="24"/>
          <w:lang w:eastAsia="en-GB"/>
        </w:rPr>
        <w:t>uojama briedžių gausa teritorijose, kuriose medžioti draudžiama, vadovaujantis Medžiojamųjų gyvūnų gausos reguliavimo teritorijose, kuriose medžioti draudžiama, tvarkos aprašu, patvirtintu Lietuvos Respublikos aplinkos ministro 2002 m. rugsėjo 30 d. įsakym</w:t>
      </w:r>
      <w:r>
        <w:rPr>
          <w:color w:val="000000"/>
          <w:szCs w:val="24"/>
          <w:lang w:eastAsia="en-GB"/>
        </w:rPr>
        <w:t>u Nr. 513 „Dėl Medžiojamųjų gyvūnų gausos reguliavimo teritorijose, kuriose medžioti draudžiama, tvarkos patvirtinimo“.</w:t>
      </w:r>
    </w:p>
    <w:p w:rsidR="00AC50C2" w:rsidRDefault="00AC50C2">
      <w:pPr>
        <w:tabs>
          <w:tab w:val="left" w:pos="4815"/>
        </w:tabs>
        <w:suppressAutoHyphens/>
        <w:rPr>
          <w:szCs w:val="24"/>
          <w:lang w:eastAsia="en-GB"/>
        </w:rPr>
      </w:pPr>
    </w:p>
    <w:p w:rsidR="00AC50C2" w:rsidRDefault="00AC50C2">
      <w:pPr>
        <w:tabs>
          <w:tab w:val="left" w:pos="4815"/>
        </w:tabs>
        <w:suppressAutoHyphens/>
        <w:rPr>
          <w:szCs w:val="24"/>
          <w:lang w:eastAsia="en-GB"/>
        </w:rPr>
      </w:pPr>
    </w:p>
    <w:p w:rsidR="00AC50C2" w:rsidRDefault="00AC50C2">
      <w:pPr>
        <w:tabs>
          <w:tab w:val="left" w:pos="4815"/>
        </w:tabs>
        <w:suppressAutoHyphens/>
        <w:rPr>
          <w:szCs w:val="24"/>
          <w:lang w:eastAsia="en-GB"/>
        </w:rPr>
      </w:pPr>
    </w:p>
    <w:p w:rsidR="00D01F47" w:rsidRDefault="00D01F47">
      <w:pPr>
        <w:tabs>
          <w:tab w:val="left" w:pos="4815"/>
        </w:tabs>
        <w:suppressAutoHyphens/>
        <w:rPr>
          <w:szCs w:val="24"/>
          <w:lang w:val="en-GB" w:eastAsia="en-GB"/>
        </w:rPr>
      </w:pPr>
      <w:bookmarkStart w:id="0" w:name="_GoBack"/>
      <w:bookmarkEnd w:id="0"/>
      <w:r>
        <w:rPr>
          <w:szCs w:val="24"/>
          <w:lang w:eastAsia="en-GB"/>
        </w:rPr>
        <w:t>Aplinkos ministras</w:t>
      </w:r>
      <w:r>
        <w:rPr>
          <w:szCs w:val="24"/>
          <w:lang w:val="en-GB" w:eastAsia="en-GB"/>
        </w:rPr>
        <w:tab/>
      </w:r>
      <w:r>
        <w:rPr>
          <w:szCs w:val="24"/>
          <w:lang w:val="en-GB" w:eastAsia="en-GB"/>
        </w:rPr>
        <w:tab/>
      </w:r>
      <w:r>
        <w:rPr>
          <w:szCs w:val="24"/>
          <w:lang w:val="en-GB" w:eastAsia="en-GB"/>
        </w:rPr>
        <w:tab/>
      </w:r>
      <w:r>
        <w:rPr>
          <w:szCs w:val="24"/>
          <w:lang w:val="en-GB" w:eastAsia="en-GB"/>
        </w:rPr>
        <w:tab/>
      </w:r>
      <w:r>
        <w:rPr>
          <w:szCs w:val="24"/>
          <w:lang w:val="en-GB" w:eastAsia="en-GB"/>
        </w:rPr>
        <w:tab/>
      </w:r>
      <w:proofErr w:type="spellStart"/>
      <w:r>
        <w:rPr>
          <w:szCs w:val="24"/>
          <w:lang w:val="en-GB" w:eastAsia="en-GB"/>
        </w:rPr>
        <w:t>Simonas</w:t>
      </w:r>
      <w:proofErr w:type="spellEnd"/>
      <w:r>
        <w:rPr>
          <w:szCs w:val="24"/>
          <w:lang w:val="en-GB" w:eastAsia="en-GB"/>
        </w:rPr>
        <w:t xml:space="preserve"> </w:t>
      </w:r>
      <w:proofErr w:type="spellStart"/>
      <w:r>
        <w:rPr>
          <w:szCs w:val="24"/>
          <w:lang w:val="en-GB" w:eastAsia="en-GB"/>
        </w:rPr>
        <w:t>Gentvilas</w:t>
      </w:r>
      <w:proofErr w:type="spellEnd"/>
    </w:p>
    <w:p w:rsidR="006B3575" w:rsidRDefault="00D01F47">
      <w:pPr>
        <w:suppressAutoHyphens/>
        <w:ind w:firstLine="555"/>
        <w:jc w:val="both"/>
        <w:textAlignment w:val="baseline"/>
        <w:rPr>
          <w:lang w:eastAsia="lt-LT"/>
        </w:rPr>
      </w:pPr>
    </w:p>
    <w:sectPr w:rsidR="006B3575">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75" w:rsidRDefault="00AC50C2">
      <w:pPr>
        <w:suppressAutoHyphens/>
        <w:rPr>
          <w:lang w:eastAsia="lt-LT"/>
        </w:rPr>
      </w:pPr>
      <w:r>
        <w:rPr>
          <w:lang w:eastAsia="lt-LT"/>
        </w:rPr>
        <w:separator/>
      </w:r>
    </w:p>
  </w:endnote>
  <w:endnote w:type="continuationSeparator" w:id="0">
    <w:p w:rsidR="006B3575" w:rsidRDefault="00AC50C2">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75" w:rsidRDefault="006B3575">
    <w:pPr>
      <w:tabs>
        <w:tab w:val="center" w:pos="4153"/>
        <w:tab w:val="right" w:pos="8306"/>
      </w:tabs>
      <w:suppressAutoHyphens/>
      <w:rPr>
        <w:rFonts w:ascii="Tahoma" w:hAnsi="Tahoma"/>
        <w:spacing w:val="10"/>
        <w:sz w:val="1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75" w:rsidRDefault="006B3575">
    <w:pPr>
      <w:tabs>
        <w:tab w:val="center" w:pos="4153"/>
        <w:tab w:val="right" w:pos="8306"/>
      </w:tabs>
      <w:suppressAutoHyphens/>
      <w:rPr>
        <w:rFonts w:ascii="Tahoma" w:hAnsi="Tahoma"/>
        <w:spacing w:val="10"/>
        <w:sz w:val="1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75" w:rsidRDefault="006B3575">
    <w:pPr>
      <w:tabs>
        <w:tab w:val="center" w:pos="4153"/>
        <w:tab w:val="right" w:pos="8306"/>
      </w:tabs>
      <w:suppressAutoHyphens/>
      <w:rPr>
        <w:rFonts w:ascii="Tahoma" w:hAnsi="Tahoma"/>
        <w:spacing w:val="10"/>
        <w:sz w:val="16"/>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75" w:rsidRDefault="00AC50C2">
      <w:pPr>
        <w:suppressAutoHyphens/>
        <w:rPr>
          <w:lang w:eastAsia="lt-LT"/>
        </w:rPr>
      </w:pPr>
      <w:r>
        <w:rPr>
          <w:lang w:eastAsia="lt-LT"/>
        </w:rPr>
        <w:separator/>
      </w:r>
    </w:p>
  </w:footnote>
  <w:footnote w:type="continuationSeparator" w:id="0">
    <w:p w:rsidR="006B3575" w:rsidRDefault="00AC50C2">
      <w:pPr>
        <w:suppressAutoHyphens/>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75" w:rsidRDefault="006B3575">
    <w:pPr>
      <w:tabs>
        <w:tab w:val="center" w:pos="4153"/>
        <w:tab w:val="right" w:pos="9100"/>
      </w:tabs>
      <w:suppressAutoHyphens/>
      <w:rPr>
        <w:rFonts w:ascii="Tahoma" w:hAnsi="Tahoma"/>
        <w:spacing w:val="10"/>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75" w:rsidRDefault="00AC50C2">
    <w:pPr>
      <w:tabs>
        <w:tab w:val="center" w:pos="4153"/>
        <w:tab w:val="right" w:pos="9100"/>
      </w:tabs>
      <w:suppressAutoHyphens/>
      <w:jc w:val="center"/>
      <w:rPr>
        <w:rFonts w:ascii="Tahoma" w:hAnsi="Tahoma"/>
        <w:spacing w:val="10"/>
        <w:sz w:val="20"/>
        <w:lang w:eastAsia="lt-LT"/>
      </w:rPr>
    </w:pPr>
    <w:r>
      <w:rPr>
        <w:rFonts w:ascii="Tahoma" w:hAnsi="Tahoma"/>
        <w:spacing w:val="10"/>
        <w:sz w:val="20"/>
        <w:lang w:eastAsia="lt-LT"/>
      </w:rPr>
      <w:fldChar w:fldCharType="begin"/>
    </w:r>
    <w:r>
      <w:rPr>
        <w:rFonts w:ascii="Tahoma" w:hAnsi="Tahoma"/>
        <w:spacing w:val="10"/>
        <w:sz w:val="20"/>
        <w:lang w:eastAsia="lt-LT"/>
      </w:rPr>
      <w:instrText>PAGE   \* MERGEFORMAT</w:instrText>
    </w:r>
    <w:r>
      <w:rPr>
        <w:rFonts w:ascii="Tahoma" w:hAnsi="Tahoma"/>
        <w:spacing w:val="10"/>
        <w:sz w:val="20"/>
        <w:lang w:eastAsia="lt-LT"/>
      </w:rPr>
      <w:fldChar w:fldCharType="separate"/>
    </w:r>
    <w:r>
      <w:rPr>
        <w:rFonts w:ascii="Tahoma" w:hAnsi="Tahoma"/>
        <w:spacing w:val="10"/>
        <w:sz w:val="20"/>
        <w:lang w:eastAsia="lt-LT"/>
      </w:rPr>
      <w:t>2</w:t>
    </w:r>
    <w:r>
      <w:rPr>
        <w:rFonts w:ascii="Tahoma" w:hAnsi="Tahoma"/>
        <w:spacing w:val="10"/>
        <w:sz w:val="20"/>
        <w:lang w:eastAsia="lt-LT"/>
      </w:rPr>
      <w:fldChar w:fldCharType="end"/>
    </w:r>
  </w:p>
  <w:p w:rsidR="006B3575" w:rsidRDefault="006B3575">
    <w:pPr>
      <w:tabs>
        <w:tab w:val="left" w:pos="3344"/>
        <w:tab w:val="left" w:pos="8291"/>
      </w:tabs>
      <w:suppressAutoHyphens/>
      <w:spacing w:before="120" w:after="60"/>
      <w:ind w:left="-17" w:firstLine="17"/>
      <w:jc w:val="center"/>
      <w:rPr>
        <w:b/>
        <w:bCs/>
        <w:lang w:eastAsia="lt-LT"/>
      </w:rPr>
    </w:pPr>
  </w:p>
  <w:p w:rsidR="006B3575" w:rsidRDefault="006B3575"/>
  <w:p w:rsidR="006B3575" w:rsidRDefault="006B3575">
    <w:pPr>
      <w:suppressAutoHyphens/>
      <w:rPr>
        <w:lang w:eastAsia="lt-LT"/>
      </w:rPr>
    </w:pPr>
  </w:p>
  <w:p w:rsidR="006B3575" w:rsidRDefault="006B3575">
    <w:pPr>
      <w:suppressAutoHyphen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75" w:rsidRDefault="006B3575">
    <w:pPr>
      <w:tabs>
        <w:tab w:val="center" w:pos="4153"/>
        <w:tab w:val="right" w:pos="9100"/>
      </w:tabs>
      <w:suppressAutoHyphens/>
      <w:rPr>
        <w:rFonts w:ascii="Tahoma" w:hAnsi="Tahoma"/>
        <w:spacing w:val="10"/>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6A"/>
    <w:rsid w:val="006B3575"/>
    <w:rsid w:val="00AC50C2"/>
    <w:rsid w:val="00CE1C6A"/>
    <w:rsid w:val="00D01F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7845"/>
  <w15:docId w15:val="{46EEE89D-D6C1-4979-B7EF-49B5A8E6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01F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glossaryDocument" Target="glossary/document.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E18D948B-6BBB-4DC1-B312-855969FBEEC3}"/>
      </w:docPartPr>
      <w:docPartBody>
        <w:p w:rsidR="00000000" w:rsidRDefault="00FB34F7">
          <w:r w:rsidRPr="00AF4D26">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F7"/>
    <w:rsid w:val="00FB34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B34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A964F1C275C4D86F2E57031B6AE29" ma:contentTypeVersion="18" ma:contentTypeDescription="Create a new document." ma:contentTypeScope="" ma:versionID="93e0a16fd47a8cab8c2d139a6a5b44f0">
  <xsd:schema xmlns:xsd="http://www.w3.org/2001/XMLSchema" xmlns:xs="http://www.w3.org/2001/XMLSchema" xmlns:p="http://schemas.microsoft.com/office/2006/metadata/properties" xmlns:ns2="58c6f6df-7e1f-4a2e-8979-e3f4c92e56f2" xmlns:ns3="2ad30025-d0d5-4532-b26e-26983efa1e1c" targetNamespace="http://schemas.microsoft.com/office/2006/metadata/properties" ma:root="true" ma:fieldsID="0d03953f07cdd130e1d7f142167cd43a" ns2:_="" ns3:_="">
    <xsd:import namespace="58c6f6df-7e1f-4a2e-8979-e3f4c92e56f2"/>
    <xsd:import namespace="2ad30025-d0d5-4532-b26e-26983efa1e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Numeri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6f6df-7e1f-4a2e-8979-e3f4c92e5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Numeris" ma:index="19" nillable="true" ma:displayName="Numeris" ma:format="Dropdown" ma:internalName="Numeris"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30025-d0d5-4532-b26e-26983efa1e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eef2003-cea1-49d5-8046-55768a5991a4}" ma:internalName="TaxCatchAll" ma:showField="CatchAllData" ma:web="2ad30025-d0d5-4532-b26e-26983efa1e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eris xmlns="58c6f6df-7e1f-4a2e-8979-e3f4c92e56f2" xsi:nil="true"/>
    <lcf76f155ced4ddcb4097134ff3c332f xmlns="58c6f6df-7e1f-4a2e-8979-e3f4c92e56f2">
      <Terms xmlns="http://schemas.microsoft.com/office/infopath/2007/PartnerControls"/>
    </lcf76f155ced4ddcb4097134ff3c332f>
    <TaxCatchAll xmlns="2ad30025-d0d5-4532-b26e-26983efa1e1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B198-41D3-4EC3-AFD9-2277C8B0E21D}">
  <ds:schemaRefs>
    <ds:schemaRef ds:uri="http://schemas.microsoft.com/sharepoint/v3/contenttype/forms"/>
  </ds:schemaRefs>
</ds:datastoreItem>
</file>

<file path=customXml/itemProps2.xml><?xml version="1.0" encoding="utf-8"?>
<ds:datastoreItem xmlns:ds="http://schemas.openxmlformats.org/officeDocument/2006/customXml" ds:itemID="{3B6B466D-6F75-4425-80E7-5FDB23F88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6f6df-7e1f-4a2e-8979-e3f4c92e56f2"/>
    <ds:schemaRef ds:uri="2ad30025-d0d5-4532-b26e-26983efa1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71CDB-73C5-4841-972B-AF905D5930EA}">
  <ds:schemaRefs>
    <ds:schemaRef ds:uri="58c6f6df-7e1f-4a2e-8979-e3f4c92e56f2"/>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2ad30025-d0d5-4532-b26e-26983efa1e1c"/>
  </ds:schemaRefs>
</ds:datastoreItem>
</file>

<file path=customXml/itemProps5.xml><?xml version="1.0" encoding="utf-8"?>
<ds:datastoreItem xmlns:ds="http://schemas.openxmlformats.org/officeDocument/2006/customXml" ds:itemID="{950F895D-BDC4-4E69-9574-F4DA8CFC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1042</Words>
  <Characters>594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2024-08-07T11:11:00Z</dcterms:created>
  <dc:creator>Vilmantas Graičiūnas</dc:creator>
  <lastModifiedBy>DZIKAITĖ Jolanta</lastModifiedBy>
  <dcterms:modified xsi:type="dcterms:W3CDTF">2024-08-07T11:28:00Z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0x0101003FDA964F1C275C4D86F2E57031B6AE29</vt:lpwstr>
  </property>
</Properties>
</file>